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Palatino Linotype" w:hAnsi="Palatino Linotype" w:eastAsia="宋体" w:cs="Times New Roman"/>
          <w:color w:val="000000"/>
          <w:kern w:val="0"/>
          <w:sz w:val="16"/>
          <w:szCs w:val="16"/>
        </w:rPr>
      </w:pPr>
      <w:bookmarkStart w:id="0" w:name="_Hlk123740476"/>
      <w:bookmarkStart w:id="1" w:name="_Hlk123762362"/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 xml:space="preserve">Table </w:t>
      </w:r>
      <w:r>
        <w:rPr>
          <w:rFonts w:hint="eastAsia" w:ascii="Palatino Linotype" w:hAnsi="Palatino Linotype" w:eastAsia="宋体" w:cs="Times New Roman"/>
          <w:b/>
          <w:bCs/>
          <w:color w:val="000000"/>
          <w:kern w:val="0"/>
          <w:sz w:val="16"/>
          <w:szCs w:val="16"/>
          <w:lang w:val="en-US" w:eastAsia="zh-CN"/>
        </w:rPr>
        <w:t>A</w:t>
      </w:r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>1</w:t>
      </w:r>
      <w:bookmarkEnd w:id="0"/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>.</w:t>
      </w:r>
      <w: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  <w:t xml:space="preserve"> Classification of m6A regulators.</w:t>
      </w:r>
    </w:p>
    <w:bookmarkEnd w:id="1"/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7"/>
        <w:gridCol w:w="574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47" w:type="dxa"/>
          </w:tcPr>
          <w:p>
            <w:pPr>
              <w:rPr>
                <w:rFonts w:ascii="Palatino Linotype" w:hAnsi="Palatino Linotype" w:eastAsia="宋体" w:cs="Times New Roman"/>
                <w:b/>
                <w:bCs/>
                <w:color w:val="000000"/>
                <w:kern w:val="0"/>
                <w:sz w:val="16"/>
                <w:szCs w:val="16"/>
              </w:rPr>
            </w:pPr>
            <w:bookmarkStart w:id="2" w:name="_Hlk123740364"/>
            <w:r>
              <w:rPr>
                <w:rFonts w:ascii="Palatino Linotype" w:hAnsi="Palatino Linotype" w:eastAsia="宋体" w:cs="Times New Roman"/>
                <w:b/>
                <w:bCs/>
                <w:color w:val="000000"/>
                <w:kern w:val="0"/>
                <w:sz w:val="16"/>
                <w:szCs w:val="16"/>
              </w:rPr>
              <w:t>Categories of m6A regulators</w:t>
            </w:r>
            <w:bookmarkEnd w:id="2"/>
          </w:p>
        </w:tc>
        <w:tc>
          <w:tcPr>
            <w:tcW w:w="5749" w:type="dxa"/>
          </w:tcPr>
          <w:p>
            <w:pPr>
              <w:rPr>
                <w:rFonts w:ascii="Palatino Linotype" w:hAnsi="Palatino Linotype" w:eastAsia="宋体" w:cs="Times New Roman"/>
                <w:b/>
                <w:bCs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b/>
                <w:bCs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Palatino Linotype" w:hAnsi="Palatino Linotype" w:eastAsia="宋体" w:cs="Times New Roman"/>
                <w:b/>
                <w:bCs/>
                <w:color w:val="000000"/>
                <w:kern w:val="0"/>
                <w:sz w:val="16"/>
                <w:szCs w:val="16"/>
              </w:rPr>
              <w:t>ene name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47" w:type="dxa"/>
          </w:tcPr>
          <w:p>
            <w:pP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Methyltransferases (writers)</w:t>
            </w:r>
          </w:p>
        </w:tc>
        <w:tc>
          <w:tcPr>
            <w:tcW w:w="5749" w:type="dxa"/>
          </w:tcPr>
          <w:p>
            <w:pP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METTL3, METTL14, METTL16, WTAP, VIRMA, ZC3H13, RBM15, RBM15B, CBLL1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47" w:type="dxa"/>
          </w:tcPr>
          <w:p>
            <w:pP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Demethylases (erasers)</w:t>
            </w:r>
          </w:p>
        </w:tc>
        <w:tc>
          <w:tcPr>
            <w:tcW w:w="5749" w:type="dxa"/>
          </w:tcPr>
          <w:p>
            <w:pP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FTO, ALKBH5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47" w:type="dxa"/>
          </w:tcPr>
          <w:p>
            <w:pP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Methylation readers (readers)</w:t>
            </w:r>
          </w:p>
        </w:tc>
        <w:tc>
          <w:tcPr>
            <w:tcW w:w="5749" w:type="dxa"/>
          </w:tcPr>
          <w:p>
            <w:pP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YTHDC1, YTHDC2, YTHDF1, YTHDF2, YTHDF3, HNRNPC, FMR1, LRPPRC, HNRNPA2B1, IGFBP1, IGFBP2, IGFBP3, RBMX, ELAVL1, IGF2BP1</w:t>
            </w:r>
          </w:p>
        </w:tc>
      </w:tr>
    </w:tbl>
    <w:p/>
    <w:p>
      <w:pPr>
        <w:rPr>
          <w:rFonts w:hint="eastAsia" w:ascii="Palatino Linotype" w:hAnsi="Palatino Linotype" w:eastAsia="宋体" w:cs="Times New Roman"/>
          <w:color w:val="000000"/>
          <w:kern w:val="0"/>
          <w:sz w:val="16"/>
          <w:szCs w:val="16"/>
        </w:rPr>
      </w:pPr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 xml:space="preserve">Table </w:t>
      </w:r>
      <w:r>
        <w:rPr>
          <w:rFonts w:hint="eastAsia" w:ascii="Palatino Linotype" w:hAnsi="Palatino Linotype" w:eastAsia="宋体" w:cs="Times New Roman"/>
          <w:b/>
          <w:bCs/>
          <w:color w:val="000000"/>
          <w:kern w:val="0"/>
          <w:sz w:val="16"/>
          <w:szCs w:val="16"/>
          <w:lang w:val="en-US" w:eastAsia="zh-CN"/>
        </w:rPr>
        <w:t>A</w:t>
      </w:r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>2.</w:t>
      </w:r>
      <w: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  <w:t xml:space="preserve"> Grouping of the mouse samples for Sirius red staining.</w:t>
      </w:r>
    </w:p>
    <w:tbl>
      <w:tblPr>
        <w:tblStyle w:val="5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63"/>
        <w:gridCol w:w="2977"/>
        <w:gridCol w:w="305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3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</w:t>
            </w: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roup</w:t>
            </w: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L</w:t>
            </w: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 xml:space="preserve">rpprc expression 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F</w:t>
            </w: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ibrosis area (%)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263" w:type="dxa"/>
            <w:vMerge w:val="restart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High Lrpprc expression</w:t>
            </w: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1.546551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15.57093426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2263" w:type="dxa"/>
            <w:vMerge w:val="continue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1.013901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25.14220705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3" w:type="dxa"/>
            <w:vMerge w:val="continue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0.675906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38.23279524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3" w:type="dxa"/>
            <w:vMerge w:val="continue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0.990453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29.05620361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3" w:type="dxa"/>
            <w:vMerge w:val="restart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Low Lrpprc expression</w:t>
            </w: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0.860992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24.31749242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3" w:type="dxa"/>
            <w:vMerge w:val="continue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1.290388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21.73633441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3" w:type="dxa"/>
            <w:vMerge w:val="continue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1.035672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23.04126101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3" w:type="dxa"/>
            <w:vMerge w:val="continue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0.907627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30.42357274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263" w:type="dxa"/>
            <w:vMerge w:val="continue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</w:p>
        </w:tc>
        <w:tc>
          <w:tcPr>
            <w:tcW w:w="2977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 xml:space="preserve">0.678510 </w:t>
            </w:r>
          </w:p>
        </w:tc>
        <w:tc>
          <w:tcPr>
            <w:tcW w:w="3056" w:type="dxa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24.46852855</w:t>
            </w:r>
          </w:p>
        </w:tc>
      </w:tr>
    </w:tbl>
    <w:p/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 xml:space="preserve">Table </w:t>
      </w:r>
      <w:r>
        <w:rPr>
          <w:rFonts w:hint="eastAsia" w:ascii="Palatino Linotype" w:hAnsi="Palatino Linotype" w:eastAsia="宋体" w:cs="Times New Roman"/>
          <w:b/>
          <w:bCs/>
          <w:color w:val="000000"/>
          <w:kern w:val="0"/>
          <w:sz w:val="16"/>
          <w:szCs w:val="16"/>
          <w:lang w:val="en-US" w:eastAsia="zh-CN"/>
        </w:rPr>
        <w:t>A</w:t>
      </w:r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>3.</w:t>
      </w:r>
      <w: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  <w:t xml:space="preserve"> Primer sequences used for qPCR</w:t>
      </w:r>
    </w:p>
    <w:tbl>
      <w:tblPr>
        <w:tblStyle w:val="4"/>
        <w:tblW w:w="6384" w:type="dxa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24"/>
        <w:gridCol w:w="45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Hnrnpc-F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CATTGGGAATCTCAACACTCTGG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Hnrnpc-R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CAAATGAGGAACCGTACATCTCC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Fto-F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TTCATGCTGGATGACCTCAATG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Fto-R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GCCAACTGACAGCGTTCTAAG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Zc3h13-F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ATCCCGAAGACCTAGCGTATT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Zc3h13-R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TGAAGGGCCATGTATGAACCT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Fmr1-F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CATGATGTGAGATTCCCACCAC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Fmr1-R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GGGATTAACAGATCGTAGACGC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Wtap-F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GAACCTCTTCCTAAAAAGGTCCG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Wtap-R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TTAACTCATCCCGTGCCATAAC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Lrpprc-F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GTAGCCCAGGGAGCAATCAAG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5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Lrpprc-R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GACACCTAACTGCTGAAGTTTGT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Ythdf3-F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GATCAGCCTATGCCATATCTGAC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Ythdf3-R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CCCCTGGTTGACTAAAAACACC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Ythdc1-F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GTCCACATTGCCTGTAAATGAGA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0" w:hRule="atLeast"/>
        </w:trPr>
        <w:tc>
          <w:tcPr>
            <w:tcW w:w="182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Ythdc1-R</w:t>
            </w:r>
          </w:p>
        </w:tc>
        <w:tc>
          <w:tcPr>
            <w:tcW w:w="456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FFFFFF"/>
            <w:noWrap/>
            <w:vAlign w:val="center"/>
          </w:tcPr>
          <w:p>
            <w:pP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</w:pPr>
            <w:r>
              <w:rPr>
                <w:rFonts w:hint="eastAsia" w:ascii="Palatino Linotype" w:hAnsi="Palatino Linotype" w:eastAsia="宋体" w:cs="Times New Roman"/>
                <w:color w:val="000000"/>
                <w:kern w:val="0"/>
                <w:sz w:val="16"/>
                <w:szCs w:val="16"/>
              </w:rPr>
              <w:t>GGAAGCACCCAGTGTATAGGA</w:t>
            </w:r>
          </w:p>
        </w:tc>
      </w:tr>
    </w:tbl>
    <w:p/>
    <w:p/>
    <w:p/>
    <w:p>
      <w:pPr>
        <w:rPr>
          <w:rFonts w:hint="eastAsia"/>
        </w:rPr>
      </w:pPr>
    </w:p>
    <w:p>
      <w:r>
        <w:drawing>
          <wp:inline distT="0" distB="0" distL="0" distR="0">
            <wp:extent cx="3580765" cy="278955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89927" cy="2797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  <w:r>
        <w:rPr>
          <w:rFonts w:hint="eastAsia"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>F</w:t>
      </w:r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 xml:space="preserve">igure </w:t>
      </w:r>
      <w:r>
        <w:rPr>
          <w:rFonts w:hint="eastAsia" w:ascii="Palatino Linotype" w:hAnsi="Palatino Linotype" w:eastAsia="宋体" w:cs="Times New Roman"/>
          <w:b/>
          <w:bCs/>
          <w:color w:val="000000"/>
          <w:kern w:val="0"/>
          <w:sz w:val="16"/>
          <w:szCs w:val="16"/>
          <w:lang w:val="en-US" w:eastAsia="zh-CN"/>
        </w:rPr>
        <w:t>A</w:t>
      </w:r>
      <w:r>
        <w:rPr>
          <w:rFonts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  <w:t xml:space="preserve">1. </w:t>
      </w:r>
      <w: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  <w:t>Heatmap of the expression of the top eight most important m6A genes in mice.</w:t>
      </w: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  <w: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  <w:drawing>
          <wp:inline distT="0" distB="0" distL="0" distR="0">
            <wp:extent cx="4637405" cy="37909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54060" cy="3804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spacing w:before="0"/>
        <w:rPr>
          <w:sz w:val="16"/>
          <w:szCs w:val="16"/>
        </w:rPr>
      </w:pPr>
      <w:r>
        <w:rPr>
          <w:b/>
          <w:bCs/>
          <w:sz w:val="16"/>
          <w:szCs w:val="16"/>
        </w:rPr>
        <w:t xml:space="preserve">Figure </w:t>
      </w:r>
      <w:r>
        <w:rPr>
          <w:rFonts w:hint="eastAsia"/>
          <w:b/>
          <w:bCs/>
          <w:sz w:val="16"/>
          <w:szCs w:val="16"/>
          <w:lang w:val="en-US" w:eastAsia="zh-CN"/>
        </w:rPr>
        <w:t>A</w:t>
      </w:r>
      <w:r>
        <w:rPr>
          <w:b/>
          <w:bCs/>
          <w:sz w:val="16"/>
          <w:szCs w:val="16"/>
        </w:rPr>
        <w:t>2.</w:t>
      </w:r>
      <w:r>
        <w:rPr>
          <w:sz w:val="16"/>
          <w:szCs w:val="16"/>
        </w:rPr>
        <w:t xml:space="preserve"> Differences in infiltration of immune cells between the high and low expression group of HNRNPC, WTAP and YTHDF3 respectively.</w:t>
      </w: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</w:p>
    <w:p>
      <w:pPr>
        <w:pStyle w:val="9"/>
        <w:spacing w:before="0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drawing>
          <wp:inline distT="0" distB="0" distL="0" distR="0">
            <wp:extent cx="5274310" cy="205803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spacing w:before="0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 xml:space="preserve">Figure </w:t>
      </w:r>
      <w:r>
        <w:rPr>
          <w:rFonts w:hint="eastAsia"/>
          <w:b/>
          <w:bCs/>
          <w:sz w:val="16"/>
          <w:szCs w:val="16"/>
          <w:lang w:val="en-US" w:eastAsia="zh-CN"/>
        </w:rPr>
        <w:t>A</w:t>
      </w:r>
      <w:bookmarkStart w:id="3" w:name="_GoBack"/>
      <w:bookmarkEnd w:id="3"/>
      <w:r>
        <w:rPr>
          <w:b/>
          <w:bCs/>
          <w:sz w:val="16"/>
          <w:szCs w:val="16"/>
        </w:rPr>
        <w:t xml:space="preserve">3. </w:t>
      </w:r>
      <w:r>
        <w:rPr>
          <w:sz w:val="16"/>
          <w:szCs w:val="16"/>
        </w:rPr>
        <w:t>Sirius red staining of cardiac sections from mice at 4 weeks after MI (All samples).</w:t>
      </w: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</w:p>
    <w:p>
      <w:pPr>
        <w:rPr>
          <w:rFonts w:ascii="Palatino Linotype" w:hAnsi="Palatino Linotype" w:eastAsia="宋体" w:cs="Times New Roman"/>
          <w:color w:val="000000"/>
          <w:kern w:val="0"/>
          <w:sz w:val="16"/>
          <w:szCs w:val="16"/>
        </w:rPr>
      </w:pPr>
    </w:p>
    <w:p>
      <w:pPr>
        <w:rPr>
          <w:rFonts w:hint="eastAsia" w:ascii="Palatino Linotype" w:hAnsi="Palatino Linotype" w:eastAsia="宋体" w:cs="Times New Roman"/>
          <w:b/>
          <w:bCs/>
          <w:color w:val="000000"/>
          <w:kern w:val="0"/>
          <w:sz w:val="16"/>
          <w:szCs w:val="16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k5ODM0YmMxOWJiYWQyNDU4MGIzYWRmYTA0ZmI5NDcifQ=="/>
  </w:docVars>
  <w:rsids>
    <w:rsidRoot w:val="00670269"/>
    <w:rsid w:val="00326746"/>
    <w:rsid w:val="00357458"/>
    <w:rsid w:val="00451EB0"/>
    <w:rsid w:val="005C22D2"/>
    <w:rsid w:val="00670269"/>
    <w:rsid w:val="00785731"/>
    <w:rsid w:val="008B19C2"/>
    <w:rsid w:val="008E0F11"/>
    <w:rsid w:val="009C2FA7"/>
    <w:rsid w:val="00F739C4"/>
    <w:rsid w:val="00F9635F"/>
    <w:rsid w:val="4CE401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5">
    <w:name w:val="Table Grid"/>
    <w:basedOn w:val="4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7">
    <w:name w:val="页眉 字符"/>
    <w:basedOn w:val="6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2"/>
    <w:qFormat/>
    <w:uiPriority w:val="99"/>
    <w:rPr>
      <w:sz w:val="18"/>
      <w:szCs w:val="18"/>
    </w:rPr>
  </w:style>
  <w:style w:type="paragraph" w:customStyle="1" w:styleId="9">
    <w:name w:val="MDPI_6.3_Notes"/>
    <w:qFormat/>
    <w:uiPriority w:val="0"/>
    <w:pPr>
      <w:adjustRightInd w:val="0"/>
      <w:snapToGrid w:val="0"/>
      <w:spacing w:before="240" w:line="228" w:lineRule="auto"/>
      <w:jc w:val="both"/>
    </w:pPr>
    <w:rPr>
      <w:rFonts w:ascii="Palatino Linotype" w:hAnsi="Palatino Linotype" w:eastAsia="宋体" w:cs="Times New Roman"/>
      <w:snapToGrid w:val="0"/>
      <w:color w:val="000000"/>
      <w:kern w:val="0"/>
      <w:sz w:val="18"/>
      <w:szCs w:val="20"/>
      <w:lang w:val="en-US" w:eastAsia="en-US" w:bidi="en-US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179</Words>
  <Characters>1388</Characters>
  <Lines>11</Lines>
  <Paragraphs>3</Paragraphs>
  <TotalTime>67</TotalTime>
  <ScaleCrop>false</ScaleCrop>
  <LinksUpToDate>false</LinksUpToDate>
  <CharactersWithSpaces>1500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2023-01-04T07:34:00Z</dcterms:created>
  <dc:creator>朱 市委</dc:creator>
  <cp:lastModifiedBy>Godsend</cp:lastModifiedBy>
  <dcterms:modified xsi:type="dcterms:W3CDTF">2023-01-04T14:45:55Z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6BAA2AECFCD04BD89C121DB2BF4571E7</vt:lpwstr>
  </property>
</Properties>
</file>