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AF" w:rsidRDefault="00945350">
      <w:pPr>
        <w:rPr>
          <w:rFonts w:hint="eastAsia"/>
        </w:rPr>
      </w:pPr>
      <w:r w:rsidRPr="00945350">
        <w:rPr>
          <w:b/>
        </w:rPr>
        <w:t>Supplementary Table S2.</w:t>
      </w:r>
      <w:r>
        <w:t xml:space="preserve"> </w:t>
      </w:r>
      <w:proofErr w:type="spellStart"/>
      <w:r>
        <w:t>Clinicopathological</w:t>
      </w:r>
      <w:proofErr w:type="spellEnd"/>
      <w:r>
        <w:t xml:space="preserve"> features of HNSCCs from GSE65858 dataset.</w:t>
      </w:r>
    </w:p>
    <w:p w:rsidR="00CB7FAF" w:rsidRDefault="00945350">
      <w:pPr>
        <w:pStyle w:val="Corpodeltesto"/>
        <w:rPr>
          <w:rFonts w:hint="eastAsia"/>
        </w:rPr>
      </w:pPr>
      <w:r>
        <w:t xml:space="preserve"> </w:t>
      </w:r>
    </w:p>
    <w:tbl>
      <w:tblPr>
        <w:tblW w:w="5774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42"/>
        <w:gridCol w:w="1482"/>
        <w:gridCol w:w="1550"/>
      </w:tblGrid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</w:rPr>
            </w:pPr>
            <w:r>
              <w:rPr>
                <w:b/>
              </w:rPr>
              <w:t>Samples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  <w:b/>
              </w:rPr>
            </w:pPr>
            <w:r>
              <w:rPr>
                <w:b/>
              </w:rPr>
              <w:t>HPV-positive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  <w:b/>
              </w:rPr>
            </w:pPr>
            <w:r>
              <w:rPr>
                <w:b/>
              </w:rPr>
              <w:t>HPV-negative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42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170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Age, years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  <w:bookmarkStart w:id="0" w:name="_GoBack"/>
        <w:bookmarkEnd w:id="0"/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rPr>
                <w:b/>
                <w:bCs/>
              </w:rPr>
              <w:t xml:space="preserve">Mean </w:t>
            </w:r>
            <w:r>
              <w:t>(SD)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59.5 (8.8)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58.9  (9.8)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Gender, n (%)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F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8 (33.3)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20 (33.3)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M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34 (66.7)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150 (66.7)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Tumor Type, n</w:t>
            </w:r>
            <w:r>
              <w:rPr>
                <w:b/>
                <w:bCs/>
              </w:rPr>
              <w:t xml:space="preserve"> (%)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Primary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42 (100.0)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157 (92.4)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Relapse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0 (0.0)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 (1.2)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Secondary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0 (0.0)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11 (6.4)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Tumor Site, n (%)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 xml:space="preserve">Cavum </w:t>
            </w:r>
            <w:proofErr w:type="spellStart"/>
            <w:r>
              <w:t>Oris</w:t>
            </w:r>
            <w:proofErr w:type="spellEnd"/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8 (19.0)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57 (33.5)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Hypopharynx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 (2.4)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27 (15.9)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Larynx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 (4.8)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39 (22.9)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Oropharynx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31 (73.8)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46 (27.1)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Unknown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0 (0.0)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 (0.6)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UICC Stage, n (%)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I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 (2.4)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16 (9.4)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II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5 (11.9)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26 (15.3)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III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7 (16.7)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23 (13.5)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IVA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21 (50)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95 (56)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IVB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7 (16.7)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6 (3.5)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IVC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 (2.4)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 (2.3)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T Category, n (%)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1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6 (14.3)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23 (13.5)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2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16 (38.1)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48 (28.2)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3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6 (14.3)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40 (23.5)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4a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10 (23.8)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 xml:space="preserve">58 </w:t>
            </w:r>
            <w:r>
              <w:t>(34.1)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4b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 (9.5)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 (0.6)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 xml:space="preserve">N category, </w:t>
            </w:r>
            <w:proofErr w:type="gramStart"/>
            <w:r>
              <w:rPr>
                <w:b/>
                <w:bCs/>
              </w:rPr>
              <w:t>n(</w:t>
            </w:r>
            <w:proofErr w:type="gramEnd"/>
            <w:r>
              <w:rPr>
                <w:b/>
                <w:bCs/>
              </w:rPr>
              <w:t>%)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0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8 (19.0)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69 (40.6)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lastRenderedPageBreak/>
              <w:t>1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6 (14.3)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18 (10.6)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2a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 (2.4)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6 (3.5)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2b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12 (28.6)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37 (21.8)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2c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11 (26.2)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33 (19.4)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3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4 (9.5)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7 (4.1)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Treatment, n (%)</w:t>
            </w:r>
          </w:p>
        </w:tc>
        <w:tc>
          <w:tcPr>
            <w:tcW w:w="30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CB7FAF">
            <w:pPr>
              <w:pStyle w:val="Contenutotabella"/>
              <w:jc w:val="center"/>
              <w:rPr>
                <w:rFonts w:hint="eastAsia"/>
              </w:rPr>
            </w:pP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Monotherapy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11 (26.2)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51 (30.0)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 xml:space="preserve">Multidisciplinary treatment 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31 (73.8)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118 (69.4)</w:t>
            </w:r>
          </w:p>
        </w:tc>
      </w:tr>
      <w:tr w:rsidR="00CB7FAF">
        <w:tc>
          <w:tcPr>
            <w:tcW w:w="2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rPr>
                <w:rFonts w:hint="eastAsia"/>
              </w:rPr>
            </w:pPr>
            <w:r>
              <w:t>Palliative treatment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0 (0.0)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B7FAF" w:rsidRDefault="00945350">
            <w:pPr>
              <w:pStyle w:val="Contenutotabella"/>
              <w:jc w:val="center"/>
              <w:rPr>
                <w:rFonts w:hint="eastAsia"/>
              </w:rPr>
            </w:pPr>
            <w:r>
              <w:t>1 (0.6)</w:t>
            </w:r>
          </w:p>
        </w:tc>
      </w:tr>
    </w:tbl>
    <w:p w:rsidR="00CB7FAF" w:rsidRDefault="00CB7FAF">
      <w:pPr>
        <w:rPr>
          <w:rFonts w:hint="eastAsia"/>
        </w:rPr>
      </w:pPr>
    </w:p>
    <w:sectPr w:rsidR="00CB7FAF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AF"/>
    <w:rsid w:val="00945350"/>
    <w:rsid w:val="00CB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E837F-10F2-4F3C-8D3F-68BAF60B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Titoloprincipale">
    <w:name w:val="Titolo principale"/>
    <w:basedOn w:val="Normal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PrLandriscina</dc:creator>
  <dc:description/>
  <cp:lastModifiedBy>Giacomo Lettini</cp:lastModifiedBy>
  <cp:revision>2</cp:revision>
  <dcterms:created xsi:type="dcterms:W3CDTF">2019-11-04T10:39:00Z</dcterms:created>
  <dcterms:modified xsi:type="dcterms:W3CDTF">2019-11-04T10:39:00Z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